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F6" w:rsidRPr="009B78C0" w:rsidRDefault="00D63CF6" w:rsidP="00983D04">
      <w:pPr>
        <w:rPr>
          <w:rFonts w:asciiTheme="minorHAnsi" w:hAnsiTheme="minorHAnsi" w:cstheme="minorHAnsi"/>
          <w:lang w:val="pt-BR"/>
        </w:rPr>
      </w:pPr>
      <w:bookmarkStart w:id="0" w:name="_GoBack"/>
      <w:bookmarkEnd w:id="0"/>
      <w:r w:rsidRPr="009B78C0">
        <w:rPr>
          <w:rFonts w:asciiTheme="minorHAnsi" w:hAnsiTheme="minorHAnsi" w:cstheme="minorHAnsi"/>
          <w:lang w:val="pt-BR"/>
        </w:rPr>
        <w:t>Conform Ordonantei nr. 20/2017, constituie contravenţii următoarele fapte dacă, potrivit legii penale, nu sunt considerate infracţiuni:</w:t>
      </w:r>
    </w:p>
    <w:p w:rsidR="00D63CF6" w:rsidRDefault="00D63CF6" w:rsidP="00983D04">
      <w:pPr>
        <w:rPr>
          <w:sz w:val="28"/>
          <w:szCs w:val="28"/>
          <w:lang w:val="pt-BR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6487"/>
        <w:gridCol w:w="5387"/>
        <w:gridCol w:w="2693"/>
      </w:tblGrid>
      <w:tr w:rsidR="00D63CF6" w:rsidTr="00E84D49">
        <w:tc>
          <w:tcPr>
            <w:tcW w:w="6487" w:type="dxa"/>
          </w:tcPr>
          <w:p w:rsidR="00D63CF6" w:rsidRPr="00DD0E4C" w:rsidRDefault="00D63CF6" w:rsidP="004E57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0E4C">
              <w:rPr>
                <w:rFonts w:asciiTheme="minorHAnsi" w:hAnsiTheme="minorHAnsi" w:cstheme="minorHAnsi"/>
                <w:b/>
              </w:rPr>
              <w:t>FAPTA AMENDABILA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0E4C">
              <w:rPr>
                <w:rFonts w:asciiTheme="minorHAnsi" w:hAnsiTheme="minorHAnsi" w:cstheme="minorHAnsi"/>
                <w:b/>
              </w:rPr>
              <w:t>ARTICOL REFERINTA</w:t>
            </w:r>
          </w:p>
        </w:tc>
        <w:tc>
          <w:tcPr>
            <w:tcW w:w="2693" w:type="dxa"/>
          </w:tcPr>
          <w:p w:rsidR="00D63CF6" w:rsidRPr="00DD0E4C" w:rsidRDefault="00D63CF6" w:rsidP="004E57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0E4C">
              <w:rPr>
                <w:rFonts w:asciiTheme="minorHAnsi" w:hAnsiTheme="minorHAnsi" w:cstheme="minorHAnsi"/>
                <w:b/>
              </w:rPr>
              <w:t>SANCTIUNE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E15D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neemiterea</w:t>
            </w:r>
            <w:proofErr w:type="spellEnd"/>
            <w:proofErr w:type="gram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bonului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fiscal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toate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bunurile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livrate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serviciile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prestate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emiterea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bonuri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cu o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valoare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inferioară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preţului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vânzare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bunului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tarifului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prestare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serviciului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ori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nerespectarea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prevederilor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art. 1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(8), care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determină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existenţa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unei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sume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nejustificate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sensul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acestei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prevederi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sumă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nejustificată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înţelege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contravaloarea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bunurilor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livrate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serviciilor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prestate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care nu s-au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emis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bonuri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fiscale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diferenţa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până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preţul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vânzare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bunului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tarifului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prestare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serviciului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cazul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emiterii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bonuri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cu o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valoare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inferioară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ori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contravaloarea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bunurilor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livrate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serviciilor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prestate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fără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respectarea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prevederilor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art. 1 </w:t>
            </w:r>
            <w:proofErr w:type="spellStart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="00D63CF6" w:rsidRPr="00DD0E4C">
              <w:rPr>
                <w:rFonts w:asciiTheme="minorHAnsi" w:hAnsiTheme="minorHAnsi" w:cstheme="minorHAnsi"/>
                <w:sz w:val="20"/>
                <w:szCs w:val="20"/>
              </w:rPr>
              <w:t>. (8);</w:t>
            </w:r>
            <w:r w:rsidR="00D63CF6"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D63CF6" w:rsidRPr="00DD0E4C" w:rsidRDefault="00D63CF6" w:rsidP="00D63CF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Art. 1</w:t>
            </w:r>
            <w:r w:rsidR="00880EAC"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(8) In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cazul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defectarii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aparatelor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de marcat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electronice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pana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repunerea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functiune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acestora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operatorii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economici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utilizatori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sunt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obligati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inregistreze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intr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-un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registru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special,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intocmit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acest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sens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toate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operatiunile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efectuate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emita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chitante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, in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conditiile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legii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respectivele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operatiuni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facturi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, la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cererea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clientului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Obligatia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privind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inregistrarea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operatiunilor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efectuate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intr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-un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registru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special nu se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aplica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operatorilor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economici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care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desfasoara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activitatea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de transport in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regim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de taxi.”</w:t>
            </w:r>
          </w:p>
        </w:tc>
        <w:tc>
          <w:tcPr>
            <w:tcW w:w="2693" w:type="dxa"/>
          </w:tcPr>
          <w:p w:rsidR="00D63CF6" w:rsidRPr="00DD0E4C" w:rsidRDefault="00D63CF6" w:rsidP="00DD0E4C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Avertisment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de la 1.500 la 20.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000 lei in </w:t>
            </w:r>
            <w:proofErr w:type="spellStart"/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functie</w:t>
            </w:r>
            <w:proofErr w:type="spellEnd"/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suma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nejustificata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Confiscarea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sumelor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nejustificate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Suspendarea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activitatii</w:t>
            </w:r>
            <w:proofErr w:type="spellEnd"/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d)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nerespectarea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utilizatori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obligatiei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prevazute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la art. 4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(12) </w:t>
            </w:r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lit</w:t>
            </w:r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</w:t>
            </w:r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), care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determina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existenta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unei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sume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nejustificate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In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sensul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acestei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prevederi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suma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nejustificata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intelege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suma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care nu s-au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intocmit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documente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justificative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conform art. 4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(12) </w:t>
            </w:r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lit</w:t>
            </w:r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h)</w:t>
            </w:r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Art.4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(12) lit. h)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"</w:t>
            </w:r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Sa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intocmeasca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documente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justificative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sumele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introduse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unitatea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vanzare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bunurilor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prestare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serviciilor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altele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decat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cele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au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emis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bonuri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cele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inscrise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registrul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special,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dupa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caz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precum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sumele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extrase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unitatea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vanzare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bunurilor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prestare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serviciilor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altele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decat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cele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utilizate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acorda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rest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clientului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…".  </w:t>
            </w:r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Avertisment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de la 1.500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lei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la 20.000 lei in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functie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suma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nejustificata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Confiscarea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sumelor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nejustificate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Suspendarea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activitatii</w:t>
            </w:r>
            <w:proofErr w:type="spellEnd"/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e)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neîndeplinirea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obligaţiei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operatorilor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economici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a se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dota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a.m.e.f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achiziţionate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numai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distribuitori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autorizaţi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unităţi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acreditate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comercializare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conform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prevederilor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prezentei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OUG;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Default="00D63CF6" w:rsidP="00DD0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D0E4C" w:rsidRPr="00DD0E4C">
              <w:rPr>
                <w:rFonts w:asciiTheme="minorHAnsi" w:hAnsiTheme="minorHAnsi" w:cstheme="minorHAnsi"/>
                <w:sz w:val="20"/>
                <w:szCs w:val="20"/>
              </w:rPr>
              <w:t>de la</w:t>
            </w:r>
            <w:r w:rsidR="00DD0E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10.000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lei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20.000 lei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suspendarea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activitatii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unitatea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vanzare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bunurilor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prestare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serviciilor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dotarea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aparat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marcat electronic fiscal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prezentarea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dovezii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plata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amenzii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jumatate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cuantumul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acesteia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dupa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caz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organului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constatator</w:t>
            </w:r>
            <w:proofErr w:type="spellEnd"/>
          </w:p>
          <w:p w:rsidR="00EC2F7D" w:rsidRPr="00DD0E4C" w:rsidRDefault="00EC2F7D" w:rsidP="00DD0E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CF6" w:rsidRPr="00DD0E4C" w:rsidTr="00E84D49">
        <w:tc>
          <w:tcPr>
            <w:tcW w:w="6487" w:type="dxa"/>
          </w:tcPr>
          <w:p w:rsidR="00926F2A" w:rsidRDefault="00926F2A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f)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emiterea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bonului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fiscal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conţinând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date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eronate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altele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decât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cele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prevăzute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lit. c),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fără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acesta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conţină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toate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datele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prevăzute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art. 4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(1)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(2),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după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caz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5387" w:type="dxa"/>
          </w:tcPr>
          <w:p w:rsidR="00926F2A" w:rsidRDefault="00926F2A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3CF6" w:rsidRPr="008A3822" w:rsidRDefault="008A3822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(1)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Bonul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fiscal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documentul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emis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aparatul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marcat electronic fiscal care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trebuie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cuprindă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cel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puţin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denumirea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codul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identificare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fiscală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ale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operatorului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economic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emitent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locul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instalare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aparatului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marcat electronic fiscal;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logotipul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seria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fiscală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ale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aparatului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numărul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ordine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data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ora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emiterii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denumirea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fiecărui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bun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livrat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serviciu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prestat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preţul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tariful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unitar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cantitatea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fiecare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operaţiune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inclusiv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taxa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adăugată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, cu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indicarea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cotei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taxă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totală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bonului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inclusiv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taxa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adăugată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totală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taxei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adăugată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cote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taxă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, cu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indicarea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nivelului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cotă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totală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operaţiunilor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scutite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taxa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adăugată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precum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altor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taxe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care nu se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cuprind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baza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impozitare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taxei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valoarea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adăugată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dacă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cazul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. (2)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Bonul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fiscal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emis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aparatul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marcat electronic fiscal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definit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la art. 3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. (2) </w:t>
            </w:r>
            <w:proofErr w:type="spellStart"/>
            <w:proofErr w:type="gram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trebuie</w:t>
            </w:r>
            <w:proofErr w:type="spellEnd"/>
            <w:proofErr w:type="gram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conţină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lângă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elementele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definite la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. (1) </w:t>
            </w:r>
            <w:proofErr w:type="spellStart"/>
            <w:proofErr w:type="gram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proofErr w:type="gram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următoarele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elemente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unitatea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măsură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precum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codul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înregistrare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scopuri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de TVA al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beneficiarului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, la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cererea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acestuia</w:t>
            </w:r>
            <w:proofErr w:type="spellEnd"/>
            <w:r w:rsidRPr="008A38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26F2A" w:rsidRDefault="00926F2A" w:rsidP="00DD0E4C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:rsidR="00926F2A" w:rsidRDefault="00926F2A" w:rsidP="00DD0E4C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:rsidR="00D63CF6" w:rsidRPr="00DD0E4C" w:rsidRDefault="00D63CF6" w:rsidP="00DD0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2.000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lei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g)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neînmânarea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bonului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fiscal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clientului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operatorul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a.m.e.f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neeliberarea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facturii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solicitarea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clientului</w:t>
            </w:r>
            <w:proofErr w:type="spellEnd"/>
          </w:p>
        </w:tc>
        <w:tc>
          <w:tcPr>
            <w:tcW w:w="53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DD0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1.000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lei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2.000 lei - </w:t>
            </w: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aplică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266EA" w:rsidRPr="00DD0E4C">
              <w:rPr>
                <w:rFonts w:asciiTheme="minorHAnsi" w:hAnsiTheme="minorHAnsi" w:cstheme="minorHAnsi"/>
                <w:sz w:val="20"/>
                <w:szCs w:val="20"/>
              </w:rPr>
              <w:t>persoanelor</w:t>
            </w:r>
            <w:proofErr w:type="spellEnd"/>
            <w:r w:rsidR="006266EA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266EA" w:rsidRPr="00DD0E4C">
              <w:rPr>
                <w:rFonts w:asciiTheme="minorHAnsi" w:hAnsiTheme="minorHAnsi" w:cstheme="minorHAnsi"/>
                <w:sz w:val="20"/>
                <w:szCs w:val="20"/>
              </w:rPr>
              <w:t>fizice</w:t>
            </w:r>
            <w:proofErr w:type="spellEnd"/>
            <w:r w:rsidR="006266EA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="006266EA" w:rsidRPr="00DD0E4C">
              <w:rPr>
                <w:rFonts w:asciiTheme="minorHAnsi" w:hAnsiTheme="minorHAnsi" w:cstheme="minorHAnsi"/>
                <w:sz w:val="20"/>
                <w:szCs w:val="20"/>
              </w:rPr>
              <w:t>vanzator</w:t>
            </w:r>
            <w:proofErr w:type="spellEnd"/>
            <w:r w:rsidR="006266EA" w:rsidRPr="00DD0E4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h)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neîndeplinirea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utilizatorii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a.m.e.f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obligaţiei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afişa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anunţul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atenţionare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prevăzut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art. 1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. (11);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175D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5D9A">
              <w:rPr>
                <w:rFonts w:asciiTheme="minorHAnsi" w:hAnsiTheme="minorHAnsi" w:cstheme="minorHAnsi"/>
                <w:sz w:val="20"/>
                <w:szCs w:val="20"/>
              </w:rPr>
              <w:t>de la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2.000</w:t>
            </w:r>
            <w:r w:rsidR="00175D9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lei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i)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nerespectarea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utilizatori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obligaţiei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anunţa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unitatea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acreditată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service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desemnată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distribuitorul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autorizat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ori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după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caz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distribuitorul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reprezentantul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acestuia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momentul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constatării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defectării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a.m.e.f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DD0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2.000 lei</w:t>
            </w:r>
            <w:r w:rsidR="00D6029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la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4.000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j)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încălcarea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utilizatorii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a.m.e.f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dispoziţiilor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art. 4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(12) </w:t>
            </w:r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lit</w:t>
            </w:r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a)-d); </w:t>
            </w:r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Art. 4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(12)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Utilizatorii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a.m.e.f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sunt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obligaţi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folosească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numai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consumabile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tipul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cu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caracteristicile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tehnice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prevăzute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manualul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utilizare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aparatului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respectiv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folosească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numai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consumabile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care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asigură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menţinerea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lizibilităţii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datelor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perioada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arhivare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prevăzută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prezenta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OU</w:t>
            </w:r>
            <w:r w:rsidR="00926F2A">
              <w:rPr>
                <w:rFonts w:asciiTheme="minorHAnsi" w:hAnsiTheme="minorHAnsi" w:cstheme="minorHAnsi"/>
                <w:i/>
                <w:sz w:val="20"/>
                <w:szCs w:val="20"/>
              </w:rPr>
              <w:t>G</w:t>
            </w: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asigure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arhivarea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datelor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solicite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distribuitorului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autorizat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la care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cumpărat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aparatul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unităţii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acreditate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completarea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manualului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utilizare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cu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informaţii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privind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tipul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caracteristicile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tehnice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ale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consumabilelor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dacă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manualul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utilizare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aparatului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respectiv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nu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conţine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astfel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informaţii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încheie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cu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furnizorii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consumabilelor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contracte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ferme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conţinând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clauze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livrare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numai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consumabilelor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tipul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cu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caracteristicile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tehnice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prevăzute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manualul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utilizare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care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asigure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menţinerea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lizibilităţii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datelor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perioada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arhivare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prevăzută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prezenta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ordonanţă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urgenţă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clauze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privind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daunele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la care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sunt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îndreptăţiţi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utilizatorii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cazul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nerespectării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clauzelor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contractuale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furnizori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asigure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arhivarea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datelor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</w:tc>
        <w:tc>
          <w:tcPr>
            <w:tcW w:w="2693" w:type="dxa"/>
          </w:tcPr>
          <w:p w:rsidR="00D63CF6" w:rsidRPr="00DD0E4C" w:rsidRDefault="00D63CF6" w:rsidP="00DD0E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D0E4C">
              <w:rPr>
                <w:rFonts w:asciiTheme="minorHAnsi" w:hAnsiTheme="minorHAnsi" w:cstheme="minorHAnsi"/>
                <w:sz w:val="20"/>
                <w:szCs w:val="20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20.000 lei </w:t>
            </w:r>
            <w:r w:rsidR="00DD0E4C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30.000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m)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nerespectarea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obligaţiilor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revin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distribuitorilor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autorizaţi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precum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unităţilor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reţeaua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acestora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acreditate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service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instala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aparatul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marcat electronic fiscal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nou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înlocui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memoria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fiscală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dispozitivul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memorare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jurnalului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electronic,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cazurile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termen</w:t>
            </w:r>
            <w:r w:rsidR="007F3A60" w:rsidRPr="00DD0E4C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 w:rsidR="007F3A60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F3A60" w:rsidRPr="00DD0E4C">
              <w:rPr>
                <w:rFonts w:asciiTheme="minorHAnsi" w:hAnsiTheme="minorHAnsi" w:cstheme="minorHAnsi"/>
                <w:sz w:val="20"/>
                <w:szCs w:val="20"/>
              </w:rPr>
              <w:t>prevăzut</w:t>
            </w:r>
            <w:proofErr w:type="spellEnd"/>
            <w:r w:rsidR="007F3A60"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art. 5 </w:t>
            </w:r>
            <w:proofErr w:type="spellStart"/>
            <w:r w:rsidR="007F3A60"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="007F3A60" w:rsidRPr="00DD0E4C">
              <w:rPr>
                <w:rFonts w:asciiTheme="minorHAnsi" w:hAnsiTheme="minorHAnsi" w:cstheme="minorHAnsi"/>
                <w:sz w:val="20"/>
                <w:szCs w:val="20"/>
              </w:rPr>
              <w:t>. (5)</w:t>
            </w: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Art 5 (5)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Distribuitorii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autorizaţi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precum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unităţile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din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reţeaua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acestora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acreditate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service,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după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caz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au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obligaţia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asigure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termen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maximum 72 de ore de la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solicitarea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utilizatorului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instalarea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aparatului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nou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precum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înlocuirea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memoriei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dispozitivului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memorare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jurnalului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electronic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cazul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care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sunt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defecte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capacitatea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stocare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fost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epuizată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D60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6029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8.000</w:t>
            </w:r>
            <w:r w:rsidR="00D6029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lei la 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10.000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o)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nerespectarea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obligaţiei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utilizatorii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aparatelor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marcat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electronice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păstra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arhiva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rola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jurnal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dispozitivul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memorare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jurnalului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electronic,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după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caz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raportul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fiscal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închidere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zilnică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registrul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special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prevăzut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art. 1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(8), cu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excepţia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activităţii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transport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regim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taxi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unde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utilizează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registrul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special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D6029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6029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4.000 lei </w:t>
            </w:r>
            <w:r w:rsidR="00D6029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la 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6.000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p)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nerespectarea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obligaţiei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păstra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completa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actualiza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cartea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intervenţii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prevăzută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art. 5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(3),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dosarul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asistenţă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tehnică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prevăzut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art. 5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. (12)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3A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3A2D4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4.000 lei </w:t>
            </w:r>
            <w:r w:rsidR="003A2D45">
              <w:rPr>
                <w:rFonts w:asciiTheme="minorHAnsi" w:hAnsiTheme="minorHAnsi" w:cstheme="minorHAnsi"/>
                <w:iCs/>
                <w:sz w:val="20"/>
                <w:szCs w:val="20"/>
              </w:rPr>
              <w:t>la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6.000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r)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nerespectarea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obligaţiei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păstra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arhiva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memoria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fiscală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precum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dispozitivul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memorare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jurnalului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electronic,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condiţii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care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permită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citirea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acestora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organul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fiscal competent;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3A2D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3A2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30.000</w:t>
            </w:r>
            <w:r w:rsidR="003A2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lei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50.000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u)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nerespectarea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utilizatorii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aparatelor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marcat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electronice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dispoziţiilor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926F2A">
              <w:rPr>
                <w:rFonts w:asciiTheme="minorHAnsi" w:hAnsiTheme="minorHAnsi" w:cstheme="minorHAnsi"/>
                <w:sz w:val="20"/>
                <w:szCs w:val="20"/>
              </w:rPr>
              <w:t xml:space="preserve">rt. 4 </w:t>
            </w:r>
            <w:proofErr w:type="spellStart"/>
            <w:r w:rsidR="00926F2A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="00926F2A">
              <w:rPr>
                <w:rFonts w:asciiTheme="minorHAnsi" w:hAnsiTheme="minorHAnsi" w:cstheme="minorHAnsi"/>
                <w:sz w:val="20"/>
                <w:szCs w:val="20"/>
              </w:rPr>
              <w:t xml:space="preserve">. (12) </w:t>
            </w:r>
            <w:proofErr w:type="spellStart"/>
            <w:r w:rsidR="00926F2A">
              <w:rPr>
                <w:rFonts w:asciiTheme="minorHAnsi" w:hAnsiTheme="minorHAnsi" w:cstheme="minorHAnsi"/>
                <w:sz w:val="20"/>
                <w:szCs w:val="20"/>
              </w:rPr>
              <w:t>lit.e</w:t>
            </w:r>
            <w:proofErr w:type="spellEnd"/>
            <w:r w:rsidR="00926F2A">
              <w:rPr>
                <w:rFonts w:asciiTheme="minorHAnsi" w:hAnsiTheme="minorHAnsi" w:cstheme="minorHAnsi"/>
                <w:sz w:val="20"/>
                <w:szCs w:val="20"/>
              </w:rPr>
              <w:t xml:space="preserve"> ) </w:t>
            </w:r>
            <w:proofErr w:type="spellStart"/>
            <w:r w:rsidR="00926F2A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="00926F2A">
              <w:rPr>
                <w:rFonts w:asciiTheme="minorHAnsi" w:hAnsiTheme="minorHAnsi" w:cstheme="minorHAnsi"/>
                <w:sz w:val="20"/>
                <w:szCs w:val="20"/>
              </w:rPr>
              <w:t xml:space="preserve"> f)</w:t>
            </w:r>
          </w:p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e)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asigure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funcţionarea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a.m.e.f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parametrii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tehnici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legali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toată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durata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utilizare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acestuia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D63CF6" w:rsidRPr="00DD0E4C" w:rsidRDefault="00DD0E4C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f)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să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permită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intervenţia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tehnică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numai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persoanelor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autorizate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pentru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efectuarea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operaţiunilor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service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asupra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a.m.e.f</w:t>
            </w:r>
            <w:proofErr w:type="spellEnd"/>
            <w:r w:rsidR="00D63CF6"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.; …</w:t>
            </w:r>
          </w:p>
        </w:tc>
        <w:tc>
          <w:tcPr>
            <w:tcW w:w="2693" w:type="dxa"/>
          </w:tcPr>
          <w:p w:rsidR="00D63CF6" w:rsidRDefault="00D63CF6" w:rsidP="00DD0E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D0E4C">
              <w:rPr>
                <w:rFonts w:asciiTheme="minorHAnsi" w:hAnsiTheme="minorHAnsi" w:cstheme="minorHAnsi"/>
                <w:iCs/>
                <w:sz w:val="20"/>
                <w:szCs w:val="20"/>
              </w:rPr>
              <w:t>de la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4.000 lei </w:t>
            </w:r>
            <w:r w:rsidR="00DD0E4C">
              <w:rPr>
                <w:rFonts w:asciiTheme="minorHAnsi" w:hAnsiTheme="minorHAnsi" w:cstheme="minorHAnsi"/>
                <w:iCs/>
                <w:sz w:val="20"/>
                <w:szCs w:val="20"/>
              </w:rPr>
              <w:t>la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6.000 lei</w:t>
            </w:r>
          </w:p>
          <w:p w:rsidR="00E84D49" w:rsidRDefault="00E84D49" w:rsidP="00DD0E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E84D49" w:rsidRDefault="00E84D49" w:rsidP="00DD0E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E84D49" w:rsidRDefault="00E84D49" w:rsidP="00DD0E4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:rsidR="00E84D49" w:rsidRPr="00DD0E4C" w:rsidRDefault="00E84D49" w:rsidP="00DD0E4C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v)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refuzul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utilizatorului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permite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accesul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tehnicianului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service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unitate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efectuarea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verificărilor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solicitarea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prezenţa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organelor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control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asupra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a.m.e.f</w:t>
            </w:r>
            <w:proofErr w:type="spellEnd"/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DD0E4C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de la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2.000 lei</w:t>
            </w:r>
            <w:r w:rsid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la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4.000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bb</w:t>
            </w:r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nereintroducerea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datelor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înscrise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rola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jurnal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privind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tranzacţiile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efectuate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la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ultima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închidere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zilnică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până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momentul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ştergerii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memoriei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operative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a.m.e.f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definite la art. 3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. (1)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3A2D45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Amenda</w:t>
            </w:r>
            <w:proofErr w:type="spellEnd"/>
            <w:r w:rsidR="003A2D4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3A2D45">
              <w:rPr>
                <w:rFonts w:asciiTheme="minorHAnsi" w:hAnsiTheme="minorHAnsi" w:cstheme="minorHAnsi"/>
                <w:iCs/>
                <w:sz w:val="20"/>
                <w:szCs w:val="20"/>
              </w:rPr>
              <w:t>de la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4.000 lei </w:t>
            </w:r>
            <w:r w:rsidR="003A2D4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la </w:t>
            </w:r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6.000 lei</w:t>
            </w:r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cc)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nerespectarea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utilizatorii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a.m.e.f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termenelor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prevăzute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lege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, de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aparate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marcat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electronice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definite la art. 3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. (2);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3A2D45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3A2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8.000</w:t>
            </w:r>
            <w:r w:rsidR="003A2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lei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10.000 lei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confiscarea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sumelor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nejustificate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suspendarea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activitatii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operatorului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economic la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unitatea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vanzare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bunurilor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prestare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serviciilor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pana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la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dotarea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cu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aparat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de marcat electronic fiscal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si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prezentarea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dovezii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plata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amenzii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jumatate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din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cuantumul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acesteia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dupa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caz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organului</w:t>
            </w:r>
            <w:proofErr w:type="spellEnd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Cs/>
                <w:sz w:val="20"/>
                <w:szCs w:val="20"/>
              </w:rPr>
              <w:t>constatator</w:t>
            </w:r>
            <w:proofErr w:type="spellEnd"/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dd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continuarea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livrării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bunuri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prestării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servicii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după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suspendarea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activităţii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operatorului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economic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punctul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3A2D45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3A2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de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10.000 </w:t>
            </w:r>
            <w:r w:rsidR="003A2D4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lei la</w:t>
            </w:r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20.000 lei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confiscarea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sumelor</w:t>
            </w:r>
            <w:proofErr w:type="spellEnd"/>
            <w:r w:rsidR="004376F5"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376F5" w:rsidRPr="00DD0E4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incasate</w:t>
            </w:r>
            <w:proofErr w:type="spellEnd"/>
          </w:p>
        </w:tc>
      </w:tr>
      <w:tr w:rsidR="00D63CF6" w:rsidRPr="00DD0E4C" w:rsidTr="00E84D49">
        <w:tc>
          <w:tcPr>
            <w:tcW w:w="64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nerespectarea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utilizatorii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aparatelor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de marcat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electronice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dispoziţiilor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prevăzute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 xml:space="preserve"> la art. 3.1 </w:t>
            </w:r>
            <w:proofErr w:type="spellStart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. (4)</w:t>
            </w:r>
          </w:p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Art 3.1. </w:t>
            </w:r>
            <w:proofErr w:type="spellStart"/>
            <w:proofErr w:type="gram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alin</w:t>
            </w:r>
            <w:proofErr w:type="spellEnd"/>
            <w:proofErr w:type="gram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(4)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vederea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realizării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supravegherii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şi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monitorizării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aparatelor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marcat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electronice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operatorii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economici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prevăzuţi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la art. 1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alin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(1) </w:t>
            </w:r>
            <w:proofErr w:type="gram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au</w:t>
            </w:r>
            <w:proofErr w:type="gram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obligaţia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asigura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conectarea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distanţă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aparatelor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marcat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electronice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în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vederea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transmiterii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date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fiscale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către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Agenţia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Naţională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Administrare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Fiscală</w:t>
            </w:r>
            <w:proofErr w:type="spellEnd"/>
            <w:r w:rsidRPr="00DD0E4C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D63CF6" w:rsidRPr="00DD0E4C" w:rsidRDefault="00D63CF6" w:rsidP="004E578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D63CF6" w:rsidRPr="00DD0E4C" w:rsidRDefault="00D63CF6" w:rsidP="003A2D45">
            <w:pP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D0E4C">
              <w:rPr>
                <w:rFonts w:asciiTheme="minorHAnsi" w:hAnsiTheme="minorHAnsi" w:cstheme="minorHAnsi"/>
                <w:b/>
                <w:sz w:val="20"/>
                <w:szCs w:val="20"/>
              </w:rPr>
              <w:t>Amenda</w:t>
            </w:r>
            <w:proofErr w:type="spellEnd"/>
            <w:r w:rsidRPr="00DD0E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A2D45" w:rsidRPr="003A2D45">
              <w:rPr>
                <w:rFonts w:asciiTheme="minorHAnsi" w:hAnsiTheme="minorHAnsi" w:cstheme="minorHAnsi"/>
                <w:sz w:val="20"/>
                <w:szCs w:val="20"/>
              </w:rPr>
              <w:t>de la</w:t>
            </w:r>
            <w:r w:rsidR="003A2D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8.000</w:t>
            </w:r>
            <w:r w:rsidR="003A2D45">
              <w:rPr>
                <w:rFonts w:asciiTheme="minorHAnsi" w:hAnsiTheme="minorHAnsi" w:cstheme="minorHAnsi"/>
                <w:sz w:val="20"/>
                <w:szCs w:val="20"/>
              </w:rPr>
              <w:t xml:space="preserve"> lei la </w:t>
            </w:r>
            <w:r w:rsidRPr="00DD0E4C">
              <w:rPr>
                <w:rFonts w:asciiTheme="minorHAnsi" w:hAnsiTheme="minorHAnsi" w:cstheme="minorHAnsi"/>
                <w:sz w:val="20"/>
                <w:szCs w:val="20"/>
              </w:rPr>
              <w:t>10.000 lei</w:t>
            </w:r>
          </w:p>
        </w:tc>
      </w:tr>
    </w:tbl>
    <w:p w:rsidR="00D63CF6" w:rsidRPr="00DD0E4C" w:rsidRDefault="00D63CF6" w:rsidP="00983D04">
      <w:pPr>
        <w:rPr>
          <w:rFonts w:asciiTheme="minorHAnsi" w:hAnsiTheme="minorHAnsi" w:cstheme="minorHAnsi"/>
          <w:sz w:val="20"/>
          <w:szCs w:val="20"/>
          <w:lang w:val="pt-BR"/>
        </w:rPr>
      </w:pPr>
    </w:p>
    <w:sectPr w:rsidR="00D63CF6" w:rsidRPr="00DD0E4C" w:rsidSect="00D63CF6">
      <w:headerReference w:type="even" r:id="rId9"/>
      <w:headerReference w:type="default" r:id="rId10"/>
      <w:type w:val="continuous"/>
      <w:pgSz w:w="16838" w:h="11906" w:orient="landscape" w:code="9"/>
      <w:pgMar w:top="1134" w:right="1182" w:bottom="746" w:left="1474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34" w:rsidRDefault="00B34E34">
      <w:r>
        <w:separator/>
      </w:r>
    </w:p>
  </w:endnote>
  <w:endnote w:type="continuationSeparator" w:id="0">
    <w:p w:rsidR="00B34E34" w:rsidRDefault="00B3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34" w:rsidRDefault="00B34E34">
      <w:r>
        <w:separator/>
      </w:r>
    </w:p>
  </w:footnote>
  <w:footnote w:type="continuationSeparator" w:id="0">
    <w:p w:rsidR="00B34E34" w:rsidRDefault="00B3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48" w:rsidRDefault="00925548" w:rsidP="00B921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5548" w:rsidRDefault="009255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2A" w:rsidRDefault="00926F2A" w:rsidP="00180DD1">
    <w:pPr>
      <w:pStyle w:val="Header"/>
      <w:jc w:val="right"/>
      <w:rPr>
        <w:rFonts w:ascii="Calibri" w:hAnsi="Calibri"/>
        <w:sz w:val="14"/>
        <w:szCs w:val="14"/>
      </w:rPr>
    </w:pPr>
  </w:p>
  <w:p w:rsidR="0072266C" w:rsidRPr="00F7191F" w:rsidRDefault="00002AB6" w:rsidP="00180DD1">
    <w:pPr>
      <w:pStyle w:val="Header"/>
      <w:jc w:val="right"/>
      <w:rPr>
        <w:rFonts w:ascii="Calibri" w:hAnsi="Calibri" w:cs="Tahoma"/>
        <w:color w:val="595959"/>
        <w:sz w:val="14"/>
      </w:rPr>
    </w:pPr>
    <w:r w:rsidRPr="00F7191F">
      <w:rPr>
        <w:rFonts w:ascii="Calibri" w:hAnsi="Calibri"/>
        <w:sz w:val="14"/>
        <w:szCs w:val="14"/>
      </w:rPr>
      <w:t xml:space="preserve"> </w:t>
    </w:r>
    <w:proofErr w:type="spellStart"/>
    <w:r w:rsidR="00180DD1" w:rsidRPr="00F7191F">
      <w:rPr>
        <w:rFonts w:ascii="Calibri" w:hAnsi="Calibri" w:cs="Tahoma"/>
        <w:color w:val="595959"/>
        <w:sz w:val="14"/>
      </w:rPr>
      <w:t>Pag</w:t>
    </w:r>
    <w:proofErr w:type="spellEnd"/>
    <w:r w:rsidR="00180DD1" w:rsidRPr="00F7191F">
      <w:rPr>
        <w:rFonts w:ascii="Calibri" w:hAnsi="Calibri" w:cs="Tahoma"/>
        <w:color w:val="595959"/>
        <w:sz w:val="14"/>
      </w:rPr>
      <w:t>.</w:t>
    </w:r>
    <w:r w:rsidR="00180DD1" w:rsidRPr="00F7191F">
      <w:rPr>
        <w:rStyle w:val="PageNumber"/>
        <w:color w:val="595959"/>
      </w:rPr>
      <w:t xml:space="preserve"> </w:t>
    </w:r>
    <w:r w:rsidR="00180DD1" w:rsidRPr="00F7191F">
      <w:rPr>
        <w:rStyle w:val="PageNumber"/>
        <w:rFonts w:ascii="Calibri" w:hAnsi="Calibri"/>
        <w:color w:val="595959"/>
        <w:sz w:val="14"/>
        <w:szCs w:val="14"/>
      </w:rPr>
      <w:fldChar w:fldCharType="begin"/>
    </w:r>
    <w:r w:rsidR="00180DD1" w:rsidRPr="00F7191F">
      <w:rPr>
        <w:rStyle w:val="PageNumber"/>
        <w:rFonts w:ascii="Calibri" w:hAnsi="Calibri"/>
        <w:color w:val="595959"/>
        <w:sz w:val="14"/>
        <w:szCs w:val="14"/>
      </w:rPr>
      <w:instrText xml:space="preserve">PAGE  </w:instrText>
    </w:r>
    <w:r w:rsidR="00180DD1" w:rsidRPr="00F7191F">
      <w:rPr>
        <w:rStyle w:val="PageNumber"/>
        <w:rFonts w:ascii="Calibri" w:hAnsi="Calibri"/>
        <w:color w:val="595959"/>
        <w:sz w:val="14"/>
        <w:szCs w:val="14"/>
      </w:rPr>
      <w:fldChar w:fldCharType="separate"/>
    </w:r>
    <w:r w:rsidR="00ED0543">
      <w:rPr>
        <w:rStyle w:val="PageNumber"/>
        <w:rFonts w:ascii="Calibri" w:hAnsi="Calibri"/>
        <w:noProof/>
        <w:color w:val="595959"/>
        <w:sz w:val="14"/>
        <w:szCs w:val="14"/>
      </w:rPr>
      <w:t>3</w:t>
    </w:r>
    <w:r w:rsidR="00180DD1" w:rsidRPr="00F7191F">
      <w:rPr>
        <w:rStyle w:val="PageNumber"/>
        <w:rFonts w:ascii="Calibri" w:hAnsi="Calibri"/>
        <w:color w:val="595959"/>
        <w:sz w:val="14"/>
        <w:szCs w:val="14"/>
      </w:rPr>
      <w:fldChar w:fldCharType="end"/>
    </w:r>
    <w:r w:rsidR="00180DD1" w:rsidRPr="00F7191F">
      <w:rPr>
        <w:rFonts w:ascii="Calibri" w:hAnsi="Calibri" w:cs="Tahoma"/>
        <w:color w:val="595959"/>
        <w:sz w:val="14"/>
      </w:rPr>
      <w:t xml:space="preserve"> </w:t>
    </w:r>
    <w:r w:rsidR="00180DD1" w:rsidRPr="00F7191F">
      <w:rPr>
        <w:rStyle w:val="PageNumber"/>
        <w:rFonts w:ascii="Calibri" w:hAnsi="Calibri" w:cs="Tahoma"/>
        <w:color w:val="595959"/>
        <w:sz w:val="14"/>
        <w:szCs w:val="14"/>
      </w:rPr>
      <w:t>/</w:t>
    </w:r>
    <w:r w:rsidR="00180DD1" w:rsidRPr="00F7191F">
      <w:rPr>
        <w:rStyle w:val="PageNumber"/>
        <w:rFonts w:ascii="Calibri" w:hAnsi="Calibri" w:cs="Tahoma"/>
        <w:color w:val="595959"/>
        <w:sz w:val="14"/>
        <w:szCs w:val="14"/>
      </w:rPr>
      <w:fldChar w:fldCharType="begin"/>
    </w:r>
    <w:r w:rsidR="00180DD1" w:rsidRPr="00F7191F">
      <w:rPr>
        <w:rStyle w:val="PageNumber"/>
        <w:rFonts w:ascii="Calibri" w:hAnsi="Calibri" w:cs="Tahoma"/>
        <w:color w:val="595959"/>
        <w:sz w:val="14"/>
        <w:szCs w:val="14"/>
      </w:rPr>
      <w:instrText xml:space="preserve"> NUMPAGES </w:instrText>
    </w:r>
    <w:r w:rsidR="00180DD1" w:rsidRPr="00F7191F">
      <w:rPr>
        <w:rStyle w:val="PageNumber"/>
        <w:rFonts w:ascii="Calibri" w:hAnsi="Calibri" w:cs="Tahoma"/>
        <w:color w:val="595959"/>
        <w:sz w:val="14"/>
        <w:szCs w:val="14"/>
      </w:rPr>
      <w:fldChar w:fldCharType="separate"/>
    </w:r>
    <w:r w:rsidR="00ED0543">
      <w:rPr>
        <w:rStyle w:val="PageNumber"/>
        <w:rFonts w:ascii="Calibri" w:hAnsi="Calibri" w:cs="Tahoma"/>
        <w:noProof/>
        <w:color w:val="595959"/>
        <w:sz w:val="14"/>
        <w:szCs w:val="14"/>
      </w:rPr>
      <w:t>4</w:t>
    </w:r>
    <w:r w:rsidR="00180DD1" w:rsidRPr="00F7191F">
      <w:rPr>
        <w:rStyle w:val="PageNumber"/>
        <w:rFonts w:ascii="Calibri" w:hAnsi="Calibri" w:cs="Tahoma"/>
        <w:color w:val="595959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AA8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E461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40B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7803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3A44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8E40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096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4D2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F286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52C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D45237"/>
    <w:multiLevelType w:val="hybridMultilevel"/>
    <w:tmpl w:val="4FC0009C"/>
    <w:lvl w:ilvl="0" w:tplc="D8802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4575CE"/>
    <w:multiLevelType w:val="hybridMultilevel"/>
    <w:tmpl w:val="1F1CF9D6"/>
    <w:lvl w:ilvl="0" w:tplc="261A2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A6EDB"/>
    <w:multiLevelType w:val="hybridMultilevel"/>
    <w:tmpl w:val="06FAFEC4"/>
    <w:lvl w:ilvl="0" w:tplc="319463DA">
      <w:start w:val="10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768529A3"/>
    <w:multiLevelType w:val="hybridMultilevel"/>
    <w:tmpl w:val="8DD23122"/>
    <w:lvl w:ilvl="0" w:tplc="9C3884D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DCB2142"/>
    <w:multiLevelType w:val="hybridMultilevel"/>
    <w:tmpl w:val="2AEC1EE0"/>
    <w:lvl w:ilvl="0" w:tplc="04EAC7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B6"/>
    <w:rsid w:val="00002AB6"/>
    <w:rsid w:val="00005813"/>
    <w:rsid w:val="00013A4B"/>
    <w:rsid w:val="000230F1"/>
    <w:rsid w:val="000438C4"/>
    <w:rsid w:val="00060065"/>
    <w:rsid w:val="00085C51"/>
    <w:rsid w:val="00090BF0"/>
    <w:rsid w:val="000938BA"/>
    <w:rsid w:val="000A225D"/>
    <w:rsid w:val="000C2A5A"/>
    <w:rsid w:val="000C5566"/>
    <w:rsid w:val="000D1957"/>
    <w:rsid w:val="000D64B2"/>
    <w:rsid w:val="000E231E"/>
    <w:rsid w:val="000F169C"/>
    <w:rsid w:val="000F48ED"/>
    <w:rsid w:val="0010247E"/>
    <w:rsid w:val="0010248A"/>
    <w:rsid w:val="0010340A"/>
    <w:rsid w:val="001111D8"/>
    <w:rsid w:val="00117379"/>
    <w:rsid w:val="00126207"/>
    <w:rsid w:val="00137EC5"/>
    <w:rsid w:val="00140619"/>
    <w:rsid w:val="00144D09"/>
    <w:rsid w:val="00151E78"/>
    <w:rsid w:val="00156185"/>
    <w:rsid w:val="001636C1"/>
    <w:rsid w:val="001656EF"/>
    <w:rsid w:val="0017066B"/>
    <w:rsid w:val="00173633"/>
    <w:rsid w:val="00175D9A"/>
    <w:rsid w:val="00176CCC"/>
    <w:rsid w:val="00180DD1"/>
    <w:rsid w:val="001829D9"/>
    <w:rsid w:val="00185EBE"/>
    <w:rsid w:val="00190A05"/>
    <w:rsid w:val="001921A5"/>
    <w:rsid w:val="0019773B"/>
    <w:rsid w:val="001A3A82"/>
    <w:rsid w:val="001B3F17"/>
    <w:rsid w:val="001C0C46"/>
    <w:rsid w:val="001C181D"/>
    <w:rsid w:val="001D1FDD"/>
    <w:rsid w:val="001D2B41"/>
    <w:rsid w:val="001E1218"/>
    <w:rsid w:val="001E7865"/>
    <w:rsid w:val="001F490A"/>
    <w:rsid w:val="002026EC"/>
    <w:rsid w:val="00234C1B"/>
    <w:rsid w:val="002431AF"/>
    <w:rsid w:val="002436A5"/>
    <w:rsid w:val="0024396F"/>
    <w:rsid w:val="00244BFE"/>
    <w:rsid w:val="002620F5"/>
    <w:rsid w:val="00265BC3"/>
    <w:rsid w:val="00267D53"/>
    <w:rsid w:val="0027779A"/>
    <w:rsid w:val="002951C3"/>
    <w:rsid w:val="002B08FD"/>
    <w:rsid w:val="002C459D"/>
    <w:rsid w:val="002C6032"/>
    <w:rsid w:val="002D15E7"/>
    <w:rsid w:val="002E612A"/>
    <w:rsid w:val="002F1777"/>
    <w:rsid w:val="002F6AFC"/>
    <w:rsid w:val="00301D22"/>
    <w:rsid w:val="003078B3"/>
    <w:rsid w:val="003224E0"/>
    <w:rsid w:val="003348CC"/>
    <w:rsid w:val="00341FE6"/>
    <w:rsid w:val="0034261E"/>
    <w:rsid w:val="00362165"/>
    <w:rsid w:val="00363898"/>
    <w:rsid w:val="00366578"/>
    <w:rsid w:val="00380BF3"/>
    <w:rsid w:val="003A2D45"/>
    <w:rsid w:val="003A4067"/>
    <w:rsid w:val="003C28F8"/>
    <w:rsid w:val="003C5D0A"/>
    <w:rsid w:val="003F4CCB"/>
    <w:rsid w:val="00405F16"/>
    <w:rsid w:val="00406570"/>
    <w:rsid w:val="00421C8E"/>
    <w:rsid w:val="00432B0F"/>
    <w:rsid w:val="00434DCC"/>
    <w:rsid w:val="004376F5"/>
    <w:rsid w:val="00443B85"/>
    <w:rsid w:val="00453875"/>
    <w:rsid w:val="0047453D"/>
    <w:rsid w:val="00477F2D"/>
    <w:rsid w:val="00481F92"/>
    <w:rsid w:val="00482CFF"/>
    <w:rsid w:val="00486C01"/>
    <w:rsid w:val="004946AC"/>
    <w:rsid w:val="004A088C"/>
    <w:rsid w:val="004A6AE6"/>
    <w:rsid w:val="004B1F96"/>
    <w:rsid w:val="004B6DF2"/>
    <w:rsid w:val="004B6E46"/>
    <w:rsid w:val="004C1A1D"/>
    <w:rsid w:val="004C2B19"/>
    <w:rsid w:val="004C5E4F"/>
    <w:rsid w:val="004C6045"/>
    <w:rsid w:val="004D23D7"/>
    <w:rsid w:val="004D4C29"/>
    <w:rsid w:val="004E07E5"/>
    <w:rsid w:val="004E170F"/>
    <w:rsid w:val="004E351A"/>
    <w:rsid w:val="004E512E"/>
    <w:rsid w:val="004F07C6"/>
    <w:rsid w:val="004F562C"/>
    <w:rsid w:val="00511112"/>
    <w:rsid w:val="0052618A"/>
    <w:rsid w:val="00534D04"/>
    <w:rsid w:val="005673F7"/>
    <w:rsid w:val="0057525A"/>
    <w:rsid w:val="00584400"/>
    <w:rsid w:val="005A52CE"/>
    <w:rsid w:val="005B0137"/>
    <w:rsid w:val="005B4739"/>
    <w:rsid w:val="005C148B"/>
    <w:rsid w:val="005D6053"/>
    <w:rsid w:val="005F7395"/>
    <w:rsid w:val="00610815"/>
    <w:rsid w:val="00613559"/>
    <w:rsid w:val="006140EA"/>
    <w:rsid w:val="00620EC6"/>
    <w:rsid w:val="00623265"/>
    <w:rsid w:val="006266EA"/>
    <w:rsid w:val="006328B6"/>
    <w:rsid w:val="00642AFE"/>
    <w:rsid w:val="006866C9"/>
    <w:rsid w:val="006866CB"/>
    <w:rsid w:val="00697FB0"/>
    <w:rsid w:val="006A3168"/>
    <w:rsid w:val="006A6604"/>
    <w:rsid w:val="006B5B15"/>
    <w:rsid w:val="006B7F21"/>
    <w:rsid w:val="006C2F22"/>
    <w:rsid w:val="006C4668"/>
    <w:rsid w:val="006D6904"/>
    <w:rsid w:val="006D6AD4"/>
    <w:rsid w:val="006E7FAB"/>
    <w:rsid w:val="006F56AE"/>
    <w:rsid w:val="00712658"/>
    <w:rsid w:val="0072094D"/>
    <w:rsid w:val="007216CA"/>
    <w:rsid w:val="0072266C"/>
    <w:rsid w:val="00756D15"/>
    <w:rsid w:val="007607BA"/>
    <w:rsid w:val="0076390E"/>
    <w:rsid w:val="00784648"/>
    <w:rsid w:val="00793E46"/>
    <w:rsid w:val="00796B83"/>
    <w:rsid w:val="007C69C0"/>
    <w:rsid w:val="007D0A93"/>
    <w:rsid w:val="007D6A73"/>
    <w:rsid w:val="007F0FC7"/>
    <w:rsid w:val="007F3A60"/>
    <w:rsid w:val="00804D23"/>
    <w:rsid w:val="00807E9D"/>
    <w:rsid w:val="00810E3C"/>
    <w:rsid w:val="00812F69"/>
    <w:rsid w:val="00821433"/>
    <w:rsid w:val="00826E54"/>
    <w:rsid w:val="00842682"/>
    <w:rsid w:val="00856036"/>
    <w:rsid w:val="008662AB"/>
    <w:rsid w:val="0087046F"/>
    <w:rsid w:val="00871FB8"/>
    <w:rsid w:val="00880EAC"/>
    <w:rsid w:val="00882BA3"/>
    <w:rsid w:val="008832A8"/>
    <w:rsid w:val="00885216"/>
    <w:rsid w:val="008A2599"/>
    <w:rsid w:val="008A3822"/>
    <w:rsid w:val="008A6E3E"/>
    <w:rsid w:val="008B65D1"/>
    <w:rsid w:val="008C1136"/>
    <w:rsid w:val="008C1557"/>
    <w:rsid w:val="008D26F2"/>
    <w:rsid w:val="008E264D"/>
    <w:rsid w:val="008E46BB"/>
    <w:rsid w:val="008E7E05"/>
    <w:rsid w:val="00902774"/>
    <w:rsid w:val="0090725A"/>
    <w:rsid w:val="00921F8D"/>
    <w:rsid w:val="00924C08"/>
    <w:rsid w:val="00925548"/>
    <w:rsid w:val="00926F2A"/>
    <w:rsid w:val="009450FF"/>
    <w:rsid w:val="00945A26"/>
    <w:rsid w:val="0095062E"/>
    <w:rsid w:val="0095156C"/>
    <w:rsid w:val="00983D04"/>
    <w:rsid w:val="009A77AC"/>
    <w:rsid w:val="009B5095"/>
    <w:rsid w:val="009B5246"/>
    <w:rsid w:val="009B78C0"/>
    <w:rsid w:val="009E4D0F"/>
    <w:rsid w:val="00A11202"/>
    <w:rsid w:val="00A144D0"/>
    <w:rsid w:val="00A163EE"/>
    <w:rsid w:val="00A17D9C"/>
    <w:rsid w:val="00A2401F"/>
    <w:rsid w:val="00A2750D"/>
    <w:rsid w:val="00A43642"/>
    <w:rsid w:val="00A437C7"/>
    <w:rsid w:val="00A447B1"/>
    <w:rsid w:val="00A7437E"/>
    <w:rsid w:val="00A75619"/>
    <w:rsid w:val="00AA6E54"/>
    <w:rsid w:val="00AB27D5"/>
    <w:rsid w:val="00AB3047"/>
    <w:rsid w:val="00AB7BBA"/>
    <w:rsid w:val="00AC6A48"/>
    <w:rsid w:val="00AC7861"/>
    <w:rsid w:val="00AE2745"/>
    <w:rsid w:val="00AF1AF3"/>
    <w:rsid w:val="00AF2090"/>
    <w:rsid w:val="00AF5FD3"/>
    <w:rsid w:val="00B0131C"/>
    <w:rsid w:val="00B12593"/>
    <w:rsid w:val="00B130C2"/>
    <w:rsid w:val="00B2031B"/>
    <w:rsid w:val="00B23AF6"/>
    <w:rsid w:val="00B257E9"/>
    <w:rsid w:val="00B3111E"/>
    <w:rsid w:val="00B322B8"/>
    <w:rsid w:val="00B34E34"/>
    <w:rsid w:val="00B41030"/>
    <w:rsid w:val="00B649B2"/>
    <w:rsid w:val="00B7106E"/>
    <w:rsid w:val="00B90E9D"/>
    <w:rsid w:val="00B92188"/>
    <w:rsid w:val="00BB7652"/>
    <w:rsid w:val="00BD071B"/>
    <w:rsid w:val="00BD3DD1"/>
    <w:rsid w:val="00BE4678"/>
    <w:rsid w:val="00BF44C6"/>
    <w:rsid w:val="00C15706"/>
    <w:rsid w:val="00C17DC6"/>
    <w:rsid w:val="00C47BAF"/>
    <w:rsid w:val="00C51BBD"/>
    <w:rsid w:val="00C67ECE"/>
    <w:rsid w:val="00C74FF7"/>
    <w:rsid w:val="00CC2BBA"/>
    <w:rsid w:val="00CE1F26"/>
    <w:rsid w:val="00CE5650"/>
    <w:rsid w:val="00CF2180"/>
    <w:rsid w:val="00D01069"/>
    <w:rsid w:val="00D10686"/>
    <w:rsid w:val="00D118A9"/>
    <w:rsid w:val="00D160A5"/>
    <w:rsid w:val="00D167BB"/>
    <w:rsid w:val="00D25D21"/>
    <w:rsid w:val="00D33825"/>
    <w:rsid w:val="00D446BD"/>
    <w:rsid w:val="00D520A1"/>
    <w:rsid w:val="00D6029E"/>
    <w:rsid w:val="00D6161D"/>
    <w:rsid w:val="00D623DF"/>
    <w:rsid w:val="00D63CF6"/>
    <w:rsid w:val="00D91992"/>
    <w:rsid w:val="00D93A83"/>
    <w:rsid w:val="00DA3E89"/>
    <w:rsid w:val="00DA6140"/>
    <w:rsid w:val="00DA6DE9"/>
    <w:rsid w:val="00DB27B0"/>
    <w:rsid w:val="00DB6CF3"/>
    <w:rsid w:val="00DD0E4C"/>
    <w:rsid w:val="00DD6252"/>
    <w:rsid w:val="00DE15D6"/>
    <w:rsid w:val="00DE7C55"/>
    <w:rsid w:val="00DF4487"/>
    <w:rsid w:val="00E0753F"/>
    <w:rsid w:val="00E23858"/>
    <w:rsid w:val="00E30346"/>
    <w:rsid w:val="00E31A49"/>
    <w:rsid w:val="00E667CB"/>
    <w:rsid w:val="00E84D49"/>
    <w:rsid w:val="00EB17BC"/>
    <w:rsid w:val="00EC03C0"/>
    <w:rsid w:val="00EC2F7D"/>
    <w:rsid w:val="00EC591F"/>
    <w:rsid w:val="00ED0543"/>
    <w:rsid w:val="00ED5946"/>
    <w:rsid w:val="00EE3956"/>
    <w:rsid w:val="00EF1086"/>
    <w:rsid w:val="00EF1DDA"/>
    <w:rsid w:val="00F041CA"/>
    <w:rsid w:val="00F04D1A"/>
    <w:rsid w:val="00F11BD5"/>
    <w:rsid w:val="00F4353E"/>
    <w:rsid w:val="00F469A0"/>
    <w:rsid w:val="00F5154B"/>
    <w:rsid w:val="00F7191F"/>
    <w:rsid w:val="00F7686E"/>
    <w:rsid w:val="00F8080B"/>
    <w:rsid w:val="00F87D70"/>
    <w:rsid w:val="00F92749"/>
    <w:rsid w:val="00FB117C"/>
    <w:rsid w:val="00FB464D"/>
    <w:rsid w:val="00FE5097"/>
    <w:rsid w:val="00FF0EE7"/>
    <w:rsid w:val="00FF4071"/>
    <w:rsid w:val="00FF68DC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6B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0000"/>
      <w:sz w:val="18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olor w:val="000000"/>
      <w:sz w:val="20"/>
      <w:lang w:val="fr-FR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68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F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3CF6"/>
  </w:style>
  <w:style w:type="paragraph" w:styleId="BalloonText">
    <w:name w:val="Balloon Text"/>
    <w:basedOn w:val="Normal"/>
    <w:link w:val="BalloonTextChar"/>
    <w:rsid w:val="004A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AE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6B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000000"/>
      <w:sz w:val="18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olor w:val="000000"/>
      <w:sz w:val="20"/>
      <w:lang w:val="fr-FR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68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F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3CF6"/>
  </w:style>
  <w:style w:type="paragraph" w:styleId="BalloonText">
    <w:name w:val="Balloon Text"/>
    <w:basedOn w:val="Normal"/>
    <w:link w:val="BalloonTextChar"/>
    <w:rsid w:val="004A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A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24A2-68A0-4F1F-B3BC-B63745AB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1471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Dor-Bujor Padureanu</Manager>
  <Company>Magister Software</Company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 Bujor Padureanu</dc:creator>
  <dc:description>Copyright Magister Software</dc:description>
  <cp:lastModifiedBy>Cristina</cp:lastModifiedBy>
  <cp:revision>14</cp:revision>
  <cp:lastPrinted>2018-05-18T06:56:00Z</cp:lastPrinted>
  <dcterms:created xsi:type="dcterms:W3CDTF">2017-12-20T11:48:00Z</dcterms:created>
  <dcterms:modified xsi:type="dcterms:W3CDTF">2018-05-18T07:28:00Z</dcterms:modified>
</cp:coreProperties>
</file>